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EC" w:rsidRDefault="00F66FEC" w:rsidP="001E64D8">
      <w:pPr>
        <w:pStyle w:val="a3"/>
      </w:pPr>
      <w:r w:rsidRPr="00F66FEC">
        <w:rPr>
          <w:rFonts w:hint="eastAsia"/>
        </w:rPr>
        <w:t>材料学院</w:t>
      </w:r>
      <w:r w:rsidRPr="00F66FEC">
        <w:t>2021届毕业生就业工作总结</w:t>
      </w:r>
    </w:p>
    <w:p w:rsidR="00F66FEC" w:rsidRDefault="00456AD5" w:rsidP="001C29C2">
      <w:r>
        <w:rPr>
          <w:rFonts w:hint="eastAsia"/>
        </w:rPr>
        <w:t>截止</w:t>
      </w:r>
      <w:r>
        <w:t>到</w:t>
      </w:r>
      <w:r>
        <w:rPr>
          <w:rFonts w:hint="eastAsia"/>
        </w:rPr>
        <w:t>7月2日</w:t>
      </w:r>
      <w:r>
        <w:t>，材料</w:t>
      </w:r>
      <w:r>
        <w:rPr>
          <w:rFonts w:hint="eastAsia"/>
        </w:rPr>
        <w:t>学院毕业生的</w:t>
      </w:r>
      <w:r>
        <w:t>就业状况</w:t>
      </w:r>
      <w:r>
        <w:rPr>
          <w:rFonts w:hint="eastAsia"/>
        </w:rPr>
        <w:t>如</w:t>
      </w:r>
      <w:r>
        <w:t>下表所示：</w:t>
      </w:r>
    </w:p>
    <w:tbl>
      <w:tblPr>
        <w:tblStyle w:val="ac"/>
        <w:tblW w:w="0" w:type="auto"/>
        <w:tblInd w:w="-431" w:type="dxa"/>
        <w:tblLook w:val="04A0" w:firstRow="1" w:lastRow="0" w:firstColumn="1" w:lastColumn="0" w:noHBand="0" w:noVBand="1"/>
      </w:tblPr>
      <w:tblGrid>
        <w:gridCol w:w="1277"/>
        <w:gridCol w:w="801"/>
        <w:gridCol w:w="946"/>
        <w:gridCol w:w="894"/>
        <w:gridCol w:w="894"/>
        <w:gridCol w:w="946"/>
        <w:gridCol w:w="894"/>
        <w:gridCol w:w="959"/>
        <w:gridCol w:w="1116"/>
      </w:tblGrid>
      <w:tr w:rsidR="00456AD5" w:rsidRPr="00456AD5" w:rsidTr="00100587">
        <w:trPr>
          <w:trHeight w:val="1077"/>
        </w:trPr>
        <w:tc>
          <w:tcPr>
            <w:tcW w:w="1277" w:type="dxa"/>
          </w:tcPr>
          <w:p w:rsidR="00456AD5" w:rsidRPr="00456AD5" w:rsidRDefault="00456AD5" w:rsidP="00456AD5">
            <w:pPr>
              <w:jc w:val="center"/>
              <w:rPr>
                <w:rFonts w:ascii="仿宋" w:eastAsia="仿宋" w:hAnsi="仿宋" w:cs="仿宋"/>
                <w:szCs w:val="28"/>
              </w:rPr>
            </w:pPr>
            <w:r w:rsidRPr="00456AD5">
              <w:rPr>
                <w:rFonts w:ascii="仿宋" w:eastAsia="仿宋" w:hAnsi="仿宋" w:cs="仿宋" w:hint="eastAsia"/>
                <w:szCs w:val="28"/>
              </w:rPr>
              <w:t>学历</w:t>
            </w:r>
          </w:p>
        </w:tc>
        <w:tc>
          <w:tcPr>
            <w:tcW w:w="801" w:type="dxa"/>
          </w:tcPr>
          <w:p w:rsidR="00456AD5" w:rsidRPr="00456AD5" w:rsidRDefault="00456AD5" w:rsidP="00456AD5">
            <w:pPr>
              <w:jc w:val="center"/>
              <w:rPr>
                <w:rFonts w:ascii="仿宋" w:eastAsia="仿宋" w:hAnsi="仿宋" w:cs="仿宋"/>
                <w:szCs w:val="28"/>
              </w:rPr>
            </w:pPr>
            <w:r w:rsidRPr="00456AD5">
              <w:rPr>
                <w:rFonts w:ascii="仿宋" w:eastAsia="仿宋" w:hAnsi="仿宋" w:cs="仿宋" w:hint="eastAsia"/>
                <w:szCs w:val="28"/>
              </w:rPr>
              <w:t>毕业生总人数</w:t>
            </w:r>
          </w:p>
        </w:tc>
        <w:tc>
          <w:tcPr>
            <w:tcW w:w="946" w:type="dxa"/>
          </w:tcPr>
          <w:p w:rsidR="00456AD5" w:rsidRPr="00456AD5" w:rsidRDefault="00456AD5" w:rsidP="00456AD5">
            <w:pPr>
              <w:jc w:val="center"/>
              <w:rPr>
                <w:rFonts w:ascii="仿宋" w:eastAsia="仿宋" w:hAnsi="仿宋" w:cs="仿宋"/>
                <w:szCs w:val="28"/>
              </w:rPr>
            </w:pPr>
            <w:r w:rsidRPr="00456AD5">
              <w:rPr>
                <w:rFonts w:ascii="仿宋" w:eastAsia="仿宋" w:hAnsi="仿宋" w:cs="仿宋" w:hint="eastAsia"/>
                <w:szCs w:val="28"/>
              </w:rPr>
              <w:t>协议/合同</w:t>
            </w:r>
          </w:p>
          <w:p w:rsidR="00456AD5" w:rsidRPr="00456AD5" w:rsidRDefault="00456AD5" w:rsidP="00456AD5">
            <w:pPr>
              <w:jc w:val="center"/>
              <w:rPr>
                <w:rFonts w:ascii="仿宋" w:eastAsia="仿宋" w:hAnsi="仿宋" w:cs="仿宋"/>
                <w:szCs w:val="28"/>
              </w:rPr>
            </w:pPr>
            <w:r w:rsidRPr="00456AD5">
              <w:rPr>
                <w:rFonts w:ascii="仿宋" w:eastAsia="仿宋" w:hAnsi="仿宋" w:cs="仿宋" w:hint="eastAsia"/>
                <w:szCs w:val="28"/>
              </w:rPr>
              <w:t>就业人数</w:t>
            </w:r>
          </w:p>
        </w:tc>
        <w:tc>
          <w:tcPr>
            <w:tcW w:w="894" w:type="dxa"/>
          </w:tcPr>
          <w:p w:rsidR="00456AD5" w:rsidRPr="00456AD5" w:rsidRDefault="00456AD5" w:rsidP="00456AD5">
            <w:pPr>
              <w:jc w:val="center"/>
              <w:rPr>
                <w:rFonts w:ascii="仿宋" w:eastAsia="仿宋" w:hAnsi="仿宋" w:cs="仿宋"/>
                <w:szCs w:val="28"/>
              </w:rPr>
            </w:pPr>
            <w:r w:rsidRPr="00456AD5">
              <w:rPr>
                <w:rFonts w:ascii="仿宋" w:eastAsia="仿宋" w:hAnsi="仿宋" w:cs="仿宋" w:hint="eastAsia"/>
                <w:szCs w:val="28"/>
              </w:rPr>
              <w:t>灵活就业人数</w:t>
            </w:r>
          </w:p>
        </w:tc>
        <w:tc>
          <w:tcPr>
            <w:tcW w:w="894" w:type="dxa"/>
          </w:tcPr>
          <w:p w:rsidR="00456AD5" w:rsidRPr="00456AD5" w:rsidRDefault="00456AD5" w:rsidP="00456AD5">
            <w:pPr>
              <w:jc w:val="center"/>
              <w:rPr>
                <w:rFonts w:ascii="仿宋" w:eastAsia="仿宋" w:hAnsi="仿宋" w:cs="仿宋"/>
                <w:szCs w:val="28"/>
              </w:rPr>
            </w:pPr>
            <w:r w:rsidRPr="00456AD5">
              <w:rPr>
                <w:rFonts w:ascii="仿宋" w:eastAsia="仿宋" w:hAnsi="仿宋" w:cs="仿宋" w:hint="eastAsia"/>
                <w:szCs w:val="28"/>
              </w:rPr>
              <w:t>自主创业人数</w:t>
            </w:r>
          </w:p>
        </w:tc>
        <w:tc>
          <w:tcPr>
            <w:tcW w:w="946" w:type="dxa"/>
          </w:tcPr>
          <w:p w:rsidR="00456AD5" w:rsidRPr="00456AD5" w:rsidRDefault="00456AD5" w:rsidP="00456AD5">
            <w:pPr>
              <w:jc w:val="center"/>
              <w:rPr>
                <w:rFonts w:ascii="仿宋" w:eastAsia="仿宋" w:hAnsi="仿宋" w:cs="仿宋"/>
                <w:szCs w:val="28"/>
              </w:rPr>
            </w:pPr>
            <w:r w:rsidRPr="00456AD5">
              <w:rPr>
                <w:rFonts w:ascii="仿宋" w:eastAsia="仿宋" w:hAnsi="仿宋" w:cs="仿宋" w:hint="eastAsia"/>
                <w:szCs w:val="28"/>
              </w:rPr>
              <w:t>升学人数</w:t>
            </w:r>
          </w:p>
        </w:tc>
        <w:tc>
          <w:tcPr>
            <w:tcW w:w="894" w:type="dxa"/>
          </w:tcPr>
          <w:p w:rsidR="00456AD5" w:rsidRPr="00456AD5" w:rsidRDefault="00456AD5" w:rsidP="00456AD5">
            <w:pPr>
              <w:tabs>
                <w:tab w:val="left" w:pos="357"/>
              </w:tabs>
              <w:jc w:val="center"/>
              <w:rPr>
                <w:rFonts w:ascii="仿宋" w:eastAsia="仿宋" w:hAnsi="仿宋" w:cs="仿宋"/>
                <w:szCs w:val="28"/>
              </w:rPr>
            </w:pPr>
            <w:r w:rsidRPr="00456AD5">
              <w:rPr>
                <w:rFonts w:ascii="仿宋" w:eastAsia="仿宋" w:hAnsi="仿宋" w:cs="仿宋" w:hint="eastAsia"/>
                <w:szCs w:val="28"/>
              </w:rPr>
              <w:t>待就业人数</w:t>
            </w:r>
          </w:p>
        </w:tc>
        <w:tc>
          <w:tcPr>
            <w:tcW w:w="959" w:type="dxa"/>
          </w:tcPr>
          <w:p w:rsidR="00456AD5" w:rsidRPr="00456AD5" w:rsidRDefault="00456AD5" w:rsidP="00456AD5">
            <w:pPr>
              <w:jc w:val="center"/>
              <w:rPr>
                <w:rFonts w:ascii="仿宋" w:eastAsia="仿宋" w:hAnsi="仿宋" w:cs="仿宋"/>
                <w:szCs w:val="28"/>
              </w:rPr>
            </w:pPr>
            <w:r w:rsidRPr="00456AD5">
              <w:rPr>
                <w:rFonts w:ascii="仿宋" w:eastAsia="仿宋" w:hAnsi="仿宋" w:cs="仿宋" w:hint="eastAsia"/>
                <w:szCs w:val="28"/>
              </w:rPr>
              <w:t>暂不就业人数</w:t>
            </w:r>
          </w:p>
        </w:tc>
        <w:tc>
          <w:tcPr>
            <w:tcW w:w="1116" w:type="dxa"/>
          </w:tcPr>
          <w:p w:rsidR="00456AD5" w:rsidRPr="00456AD5" w:rsidRDefault="00456AD5" w:rsidP="00456AD5">
            <w:pPr>
              <w:jc w:val="center"/>
              <w:rPr>
                <w:rFonts w:ascii="仿宋" w:eastAsia="仿宋" w:hAnsi="仿宋" w:cs="仿宋"/>
                <w:szCs w:val="28"/>
              </w:rPr>
            </w:pPr>
            <w:r w:rsidRPr="00456AD5">
              <w:rPr>
                <w:rFonts w:ascii="仿宋" w:eastAsia="仿宋" w:hAnsi="仿宋" w:cs="仿宋" w:hint="eastAsia"/>
                <w:szCs w:val="28"/>
              </w:rPr>
              <w:t>就业率</w:t>
            </w:r>
          </w:p>
        </w:tc>
      </w:tr>
      <w:tr w:rsidR="00456AD5" w:rsidRPr="00456AD5" w:rsidTr="00100587">
        <w:trPr>
          <w:trHeight w:val="590"/>
        </w:trPr>
        <w:tc>
          <w:tcPr>
            <w:tcW w:w="1277" w:type="dxa"/>
          </w:tcPr>
          <w:p w:rsidR="00456AD5" w:rsidRPr="00456AD5" w:rsidRDefault="00456AD5" w:rsidP="00456AD5">
            <w:pPr>
              <w:jc w:val="center"/>
              <w:rPr>
                <w:rFonts w:ascii="仿宋" w:eastAsia="仿宋" w:hAnsi="仿宋" w:cs="仿宋"/>
                <w:szCs w:val="28"/>
              </w:rPr>
            </w:pPr>
            <w:r w:rsidRPr="00456AD5">
              <w:rPr>
                <w:rFonts w:ascii="仿宋" w:eastAsia="仿宋" w:hAnsi="仿宋" w:cs="仿宋" w:hint="eastAsia"/>
                <w:szCs w:val="28"/>
              </w:rPr>
              <w:t>研究生</w:t>
            </w:r>
          </w:p>
        </w:tc>
        <w:tc>
          <w:tcPr>
            <w:tcW w:w="801" w:type="dxa"/>
            <w:vAlign w:val="center"/>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73</w:t>
            </w:r>
          </w:p>
        </w:tc>
        <w:tc>
          <w:tcPr>
            <w:tcW w:w="946" w:type="dxa"/>
            <w:vAlign w:val="center"/>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sz w:val="24"/>
                <w:szCs w:val="24"/>
              </w:rPr>
              <w:t>53</w:t>
            </w:r>
          </w:p>
        </w:tc>
        <w:tc>
          <w:tcPr>
            <w:tcW w:w="894" w:type="dxa"/>
            <w:vAlign w:val="center"/>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0</w:t>
            </w:r>
          </w:p>
        </w:tc>
        <w:tc>
          <w:tcPr>
            <w:tcW w:w="894" w:type="dxa"/>
            <w:vAlign w:val="center"/>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0</w:t>
            </w:r>
          </w:p>
        </w:tc>
        <w:tc>
          <w:tcPr>
            <w:tcW w:w="946" w:type="dxa"/>
            <w:vAlign w:val="center"/>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sz w:val="24"/>
                <w:szCs w:val="24"/>
              </w:rPr>
              <w:t>14</w:t>
            </w:r>
          </w:p>
        </w:tc>
        <w:tc>
          <w:tcPr>
            <w:tcW w:w="894" w:type="dxa"/>
            <w:vAlign w:val="center"/>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sz w:val="24"/>
                <w:szCs w:val="24"/>
              </w:rPr>
              <w:t>6</w:t>
            </w:r>
          </w:p>
        </w:tc>
        <w:tc>
          <w:tcPr>
            <w:tcW w:w="959" w:type="dxa"/>
            <w:vAlign w:val="center"/>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sz w:val="24"/>
                <w:szCs w:val="24"/>
              </w:rPr>
              <w:t>0</w:t>
            </w:r>
          </w:p>
        </w:tc>
        <w:tc>
          <w:tcPr>
            <w:tcW w:w="1116"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91.78</w:t>
            </w:r>
            <w:r w:rsidRPr="00456AD5">
              <w:rPr>
                <w:rFonts w:ascii="仿宋" w:eastAsia="仿宋" w:hAnsi="仿宋" w:cs="仿宋"/>
                <w:sz w:val="24"/>
                <w:szCs w:val="24"/>
              </w:rPr>
              <w:t>%</w:t>
            </w:r>
          </w:p>
        </w:tc>
      </w:tr>
      <w:tr w:rsidR="00456AD5" w:rsidRPr="00456AD5" w:rsidTr="00100587">
        <w:trPr>
          <w:trHeight w:val="590"/>
        </w:trPr>
        <w:tc>
          <w:tcPr>
            <w:tcW w:w="1277" w:type="dxa"/>
          </w:tcPr>
          <w:p w:rsidR="00456AD5" w:rsidRPr="00456AD5" w:rsidRDefault="00456AD5" w:rsidP="00456AD5">
            <w:pPr>
              <w:jc w:val="center"/>
              <w:rPr>
                <w:rFonts w:ascii="仿宋" w:eastAsia="仿宋" w:hAnsi="仿宋" w:cs="仿宋"/>
                <w:szCs w:val="28"/>
              </w:rPr>
            </w:pPr>
            <w:r w:rsidRPr="00456AD5">
              <w:rPr>
                <w:rFonts w:ascii="仿宋" w:eastAsia="仿宋" w:hAnsi="仿宋" w:cs="仿宋" w:hint="eastAsia"/>
                <w:szCs w:val="28"/>
              </w:rPr>
              <w:t>本科生</w:t>
            </w:r>
          </w:p>
        </w:tc>
        <w:tc>
          <w:tcPr>
            <w:tcW w:w="801"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471</w:t>
            </w:r>
          </w:p>
        </w:tc>
        <w:tc>
          <w:tcPr>
            <w:tcW w:w="946"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250</w:t>
            </w:r>
          </w:p>
        </w:tc>
        <w:tc>
          <w:tcPr>
            <w:tcW w:w="894"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sz w:val="24"/>
                <w:szCs w:val="24"/>
              </w:rPr>
              <w:t>1</w:t>
            </w:r>
            <w:r w:rsidRPr="00456AD5">
              <w:rPr>
                <w:rFonts w:ascii="仿宋" w:eastAsia="仿宋" w:hAnsi="仿宋" w:cs="仿宋" w:hint="eastAsia"/>
                <w:sz w:val="24"/>
                <w:szCs w:val="24"/>
              </w:rPr>
              <w:t>3</w:t>
            </w:r>
          </w:p>
        </w:tc>
        <w:tc>
          <w:tcPr>
            <w:tcW w:w="894"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0</w:t>
            </w:r>
          </w:p>
        </w:tc>
        <w:tc>
          <w:tcPr>
            <w:tcW w:w="946"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178</w:t>
            </w:r>
          </w:p>
        </w:tc>
        <w:tc>
          <w:tcPr>
            <w:tcW w:w="894"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sz w:val="24"/>
                <w:szCs w:val="24"/>
              </w:rPr>
              <w:t>3</w:t>
            </w:r>
            <w:r w:rsidRPr="00456AD5">
              <w:rPr>
                <w:rFonts w:ascii="仿宋" w:eastAsia="仿宋" w:hAnsi="仿宋" w:cs="仿宋" w:hint="eastAsia"/>
                <w:sz w:val="24"/>
                <w:szCs w:val="24"/>
              </w:rPr>
              <w:t>0</w:t>
            </w:r>
          </w:p>
        </w:tc>
        <w:tc>
          <w:tcPr>
            <w:tcW w:w="959"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0</w:t>
            </w:r>
          </w:p>
        </w:tc>
        <w:tc>
          <w:tcPr>
            <w:tcW w:w="1116"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93.63</w:t>
            </w:r>
            <w:r w:rsidRPr="00456AD5">
              <w:rPr>
                <w:rFonts w:ascii="仿宋" w:eastAsia="仿宋" w:hAnsi="仿宋" w:cs="仿宋"/>
                <w:sz w:val="24"/>
                <w:szCs w:val="24"/>
              </w:rPr>
              <w:t>%</w:t>
            </w:r>
          </w:p>
        </w:tc>
      </w:tr>
      <w:tr w:rsidR="00456AD5" w:rsidRPr="00456AD5" w:rsidTr="00100587">
        <w:trPr>
          <w:trHeight w:val="590"/>
        </w:trPr>
        <w:tc>
          <w:tcPr>
            <w:tcW w:w="1277" w:type="dxa"/>
          </w:tcPr>
          <w:p w:rsidR="00456AD5" w:rsidRPr="00456AD5" w:rsidRDefault="00456AD5" w:rsidP="00456AD5">
            <w:pPr>
              <w:jc w:val="center"/>
              <w:rPr>
                <w:rFonts w:ascii="仿宋" w:eastAsia="仿宋" w:hAnsi="仿宋" w:cs="仿宋"/>
                <w:szCs w:val="28"/>
              </w:rPr>
            </w:pPr>
            <w:r w:rsidRPr="00456AD5">
              <w:rPr>
                <w:rFonts w:ascii="仿宋" w:eastAsia="仿宋" w:hAnsi="仿宋" w:cs="仿宋" w:hint="eastAsia"/>
                <w:szCs w:val="28"/>
              </w:rPr>
              <w:t>合计</w:t>
            </w:r>
          </w:p>
        </w:tc>
        <w:tc>
          <w:tcPr>
            <w:tcW w:w="801"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544</w:t>
            </w:r>
          </w:p>
        </w:tc>
        <w:tc>
          <w:tcPr>
            <w:tcW w:w="946"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303</w:t>
            </w:r>
          </w:p>
        </w:tc>
        <w:tc>
          <w:tcPr>
            <w:tcW w:w="894"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sz w:val="24"/>
                <w:szCs w:val="24"/>
              </w:rPr>
              <w:t>1</w:t>
            </w:r>
            <w:r w:rsidRPr="00456AD5">
              <w:rPr>
                <w:rFonts w:ascii="仿宋" w:eastAsia="仿宋" w:hAnsi="仿宋" w:cs="仿宋" w:hint="eastAsia"/>
                <w:sz w:val="24"/>
                <w:szCs w:val="24"/>
              </w:rPr>
              <w:t>3</w:t>
            </w:r>
          </w:p>
        </w:tc>
        <w:tc>
          <w:tcPr>
            <w:tcW w:w="894"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0</w:t>
            </w:r>
          </w:p>
        </w:tc>
        <w:tc>
          <w:tcPr>
            <w:tcW w:w="946"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192</w:t>
            </w:r>
          </w:p>
        </w:tc>
        <w:tc>
          <w:tcPr>
            <w:tcW w:w="894"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sz w:val="24"/>
                <w:szCs w:val="24"/>
              </w:rPr>
              <w:t>3</w:t>
            </w:r>
            <w:r w:rsidRPr="00456AD5">
              <w:rPr>
                <w:rFonts w:ascii="仿宋" w:eastAsia="仿宋" w:hAnsi="仿宋" w:cs="仿宋" w:hint="eastAsia"/>
                <w:sz w:val="24"/>
                <w:szCs w:val="24"/>
              </w:rPr>
              <w:t>6</w:t>
            </w:r>
          </w:p>
        </w:tc>
        <w:tc>
          <w:tcPr>
            <w:tcW w:w="959"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0</w:t>
            </w:r>
          </w:p>
        </w:tc>
        <w:tc>
          <w:tcPr>
            <w:tcW w:w="1116" w:type="dxa"/>
          </w:tcPr>
          <w:p w:rsidR="00456AD5" w:rsidRPr="00456AD5" w:rsidRDefault="00456AD5" w:rsidP="00456AD5">
            <w:pPr>
              <w:jc w:val="center"/>
              <w:rPr>
                <w:rFonts w:ascii="仿宋" w:eastAsia="仿宋" w:hAnsi="仿宋" w:cs="仿宋"/>
                <w:sz w:val="24"/>
                <w:szCs w:val="24"/>
              </w:rPr>
            </w:pPr>
            <w:r w:rsidRPr="00456AD5">
              <w:rPr>
                <w:rFonts w:ascii="仿宋" w:eastAsia="仿宋" w:hAnsi="仿宋" w:cs="仿宋" w:hint="eastAsia"/>
                <w:sz w:val="24"/>
                <w:szCs w:val="24"/>
              </w:rPr>
              <w:t>93.38</w:t>
            </w:r>
            <w:r w:rsidR="00F95E8A">
              <w:rPr>
                <w:rFonts w:ascii="仿宋" w:eastAsia="仿宋" w:hAnsi="仿宋" w:cs="仿宋"/>
                <w:sz w:val="24"/>
                <w:szCs w:val="24"/>
              </w:rPr>
              <w:t>%</w:t>
            </w:r>
          </w:p>
        </w:tc>
      </w:tr>
    </w:tbl>
    <w:p w:rsidR="00715A4D" w:rsidRDefault="00715A4D" w:rsidP="00283566">
      <w:pPr>
        <w:ind w:firstLineChars="150" w:firstLine="420"/>
      </w:pPr>
      <w:r>
        <w:rPr>
          <w:rFonts w:hint="eastAsia"/>
        </w:rPr>
        <w:t>为了</w:t>
      </w:r>
      <w:r>
        <w:t>更好地对我院毕业生就业工作进行更好地分析总结</w:t>
      </w:r>
      <w:r>
        <w:rPr>
          <w:rFonts w:hint="eastAsia"/>
        </w:rPr>
        <w:t>，提炼出</w:t>
      </w:r>
      <w:r>
        <w:t>可复制可借鉴的经验做法，我主要从以下</w:t>
      </w:r>
      <w:r w:rsidR="000D78A4">
        <w:rPr>
          <w:rFonts w:hint="eastAsia"/>
        </w:rPr>
        <w:t>三</w:t>
      </w:r>
      <w:r>
        <w:t>个</w:t>
      </w:r>
      <w:r>
        <w:rPr>
          <w:rFonts w:hint="eastAsia"/>
        </w:rPr>
        <w:t>角度</w:t>
      </w:r>
      <w:r>
        <w:t>进行分析</w:t>
      </w:r>
      <w:r>
        <w:rPr>
          <w:rFonts w:hint="eastAsia"/>
        </w:rPr>
        <w:t>：</w:t>
      </w:r>
    </w:p>
    <w:p w:rsidR="00C3730D" w:rsidRDefault="00EF0CE7" w:rsidP="00283566">
      <w:pPr>
        <w:pStyle w:val="ab"/>
        <w:numPr>
          <w:ilvl w:val="0"/>
          <w:numId w:val="2"/>
        </w:numPr>
        <w:ind w:firstLineChars="0"/>
        <w:rPr>
          <w:b/>
        </w:rPr>
      </w:pPr>
      <w:r>
        <w:rPr>
          <w:rFonts w:hint="eastAsia"/>
          <w:b/>
        </w:rPr>
        <w:t>学院</w:t>
      </w:r>
      <w:r>
        <w:rPr>
          <w:b/>
        </w:rPr>
        <w:t>统筹谋划，</w:t>
      </w:r>
      <w:r w:rsidR="00AD69ED">
        <w:rPr>
          <w:rFonts w:hint="eastAsia"/>
          <w:b/>
        </w:rPr>
        <w:t>各部门紧密</w:t>
      </w:r>
      <w:r w:rsidR="00AD69ED">
        <w:rPr>
          <w:b/>
        </w:rPr>
        <w:t>配合</w:t>
      </w:r>
      <w:r>
        <w:rPr>
          <w:b/>
        </w:rPr>
        <w:t>，</w:t>
      </w:r>
      <w:r>
        <w:rPr>
          <w:rFonts w:hint="eastAsia"/>
          <w:b/>
        </w:rPr>
        <w:t>深入</w:t>
      </w:r>
      <w:r>
        <w:rPr>
          <w:b/>
        </w:rPr>
        <w:t>细致地做好</w:t>
      </w:r>
      <w:r w:rsidR="00C3730D">
        <w:rPr>
          <w:rFonts w:hint="eastAsia"/>
          <w:b/>
        </w:rPr>
        <w:t>毕业生</w:t>
      </w:r>
      <w:r w:rsidR="00C3730D">
        <w:rPr>
          <w:b/>
        </w:rPr>
        <w:t>就业工作</w:t>
      </w:r>
      <w:r>
        <w:rPr>
          <w:rFonts w:hint="eastAsia"/>
          <w:b/>
        </w:rPr>
        <w:t>。</w:t>
      </w:r>
    </w:p>
    <w:p w:rsidR="00715A4D" w:rsidRPr="00EF0CE7" w:rsidRDefault="00715A4D" w:rsidP="00EF0CE7">
      <w:pPr>
        <w:ind w:firstLineChars="150" w:firstLine="420"/>
      </w:pPr>
      <w:r w:rsidRPr="00EF0CE7">
        <w:rPr>
          <w:rFonts w:hint="eastAsia"/>
        </w:rPr>
        <w:t>我院毕业生</w:t>
      </w:r>
      <w:r w:rsidRPr="00EF0CE7">
        <w:t>的就业工作从学历层次上看，</w:t>
      </w:r>
      <w:r w:rsidRPr="00EF0CE7">
        <w:rPr>
          <w:rFonts w:hint="eastAsia"/>
        </w:rPr>
        <w:t>分为</w:t>
      </w:r>
      <w:r w:rsidRPr="00EF0CE7">
        <w:t>研究生的就业工作和本科生的就业工作。</w:t>
      </w:r>
      <w:r w:rsidR="00EF0CE7" w:rsidRPr="00EF0CE7">
        <w:rPr>
          <w:rFonts w:hint="eastAsia"/>
        </w:rPr>
        <w:t>我院</w:t>
      </w:r>
      <w:r w:rsidR="00EF0CE7" w:rsidRPr="00EF0CE7">
        <w:t>毕业生的就业工作之所以取得今天的成绩，从责任分工来看，院领导、</w:t>
      </w:r>
      <w:r w:rsidR="00EF0CE7" w:rsidRPr="00EF0CE7">
        <w:rPr>
          <w:rFonts w:hint="eastAsia"/>
        </w:rPr>
        <w:t>学工办</w:t>
      </w:r>
      <w:r w:rsidR="00EF0CE7" w:rsidRPr="00EF0CE7">
        <w:t>、毕业生辅导员、毕业班班主任、毕业生导师和毕业</w:t>
      </w:r>
      <w:r w:rsidR="00EF0CE7" w:rsidRPr="00EF0CE7">
        <w:rPr>
          <w:rFonts w:hint="eastAsia"/>
        </w:rPr>
        <w:t>设计</w:t>
      </w:r>
      <w:r w:rsidR="00EF0CE7" w:rsidRPr="00EF0CE7">
        <w:t>指导老师以及主要学生干部各司其职、紧密配合，</w:t>
      </w:r>
      <w:r w:rsidR="00EF0CE7" w:rsidRPr="00EF0CE7">
        <w:rPr>
          <w:rFonts w:hint="eastAsia"/>
        </w:rPr>
        <w:t>才</w:t>
      </w:r>
      <w:r w:rsidR="00EF0CE7" w:rsidRPr="00EF0CE7">
        <w:t>达到了良好的效果。</w:t>
      </w:r>
    </w:p>
    <w:p w:rsidR="00283566" w:rsidRDefault="00283566" w:rsidP="00817A7D">
      <w:pPr>
        <w:ind w:firstLineChars="150" w:firstLine="420"/>
      </w:pPr>
      <w:r>
        <w:rPr>
          <w:rFonts w:hint="eastAsia"/>
        </w:rPr>
        <w:t>我院73名</w:t>
      </w:r>
      <w:r>
        <w:t>研究生中有</w:t>
      </w:r>
      <w:r>
        <w:rPr>
          <w:rFonts w:hint="eastAsia"/>
        </w:rPr>
        <w:t>2名</w:t>
      </w:r>
      <w:r>
        <w:t>博士生、</w:t>
      </w:r>
      <w:r>
        <w:rPr>
          <w:rFonts w:hint="eastAsia"/>
        </w:rPr>
        <w:t>71名</w:t>
      </w:r>
      <w:r>
        <w:t>硕士生，</w:t>
      </w:r>
      <w:r>
        <w:rPr>
          <w:rFonts w:hint="eastAsia"/>
        </w:rPr>
        <w:t>研究生的</w:t>
      </w:r>
      <w:r>
        <w:t>就业工作以分管研究生的副院长为领导</w:t>
      </w:r>
      <w:r>
        <w:rPr>
          <w:rFonts w:hint="eastAsia"/>
        </w:rPr>
        <w:t>、</w:t>
      </w:r>
      <w:r>
        <w:t>以研究生辅导员为主体、以研究生导师为抓手来进行开展。</w:t>
      </w:r>
      <w:r w:rsidR="00834828">
        <w:rPr>
          <w:rFonts w:hint="eastAsia"/>
        </w:rPr>
        <w:t>学院</w:t>
      </w:r>
      <w:r w:rsidR="00834828">
        <w:t>不定期对未就业的研究生展开座谈会，详细了解未就业研究生的实际状况</w:t>
      </w:r>
      <w:r w:rsidR="00834828">
        <w:rPr>
          <w:rFonts w:hint="eastAsia"/>
        </w:rPr>
        <w:t>，</w:t>
      </w:r>
      <w:r w:rsidR="00834828">
        <w:t>帮助他们在就业过程中遇到的实</w:t>
      </w:r>
      <w:r w:rsidR="00834828">
        <w:lastRenderedPageBreak/>
        <w:t>际问题。</w:t>
      </w:r>
      <w:r>
        <w:t>学院</w:t>
      </w:r>
      <w:r>
        <w:rPr>
          <w:rFonts w:hint="eastAsia"/>
        </w:rPr>
        <w:t>学工办每半个月</w:t>
      </w:r>
      <w:r>
        <w:t>都会将73</w:t>
      </w:r>
      <w:r>
        <w:rPr>
          <w:rFonts w:hint="eastAsia"/>
        </w:rPr>
        <w:t>名</w:t>
      </w:r>
      <w:r>
        <w:t>研究生的就业台账</w:t>
      </w:r>
      <w:r>
        <w:rPr>
          <w:rFonts w:hint="eastAsia"/>
        </w:rPr>
        <w:t>通报</w:t>
      </w:r>
      <w:r>
        <w:t>给</w:t>
      </w:r>
      <w:r>
        <w:rPr>
          <w:rFonts w:hint="eastAsia"/>
        </w:rPr>
        <w:t>以上</w:t>
      </w:r>
      <w:r>
        <w:t>人员</w:t>
      </w:r>
      <w:r w:rsidR="00817A7D">
        <w:rPr>
          <w:rFonts w:hint="eastAsia"/>
        </w:rPr>
        <w:t>，</w:t>
      </w:r>
      <w:r w:rsidR="00817A7D">
        <w:t>督促大家对未就业学生进行帮扶，学工办建立了未就业研究生的QQ</w:t>
      </w:r>
      <w:r w:rsidR="00817A7D">
        <w:rPr>
          <w:rFonts w:hint="eastAsia"/>
        </w:rPr>
        <w:t>群和</w:t>
      </w:r>
      <w:r w:rsidR="00817A7D">
        <w:t>微信群，</w:t>
      </w:r>
      <w:r w:rsidR="00A07CE9">
        <w:rPr>
          <w:rFonts w:hint="eastAsia"/>
        </w:rPr>
        <w:t>研究生</w:t>
      </w:r>
      <w:r w:rsidR="00A07CE9">
        <w:t>辅导员</w:t>
      </w:r>
      <w:r w:rsidR="00817A7D">
        <w:rPr>
          <w:rFonts w:hint="eastAsia"/>
        </w:rPr>
        <w:t>及时</w:t>
      </w:r>
      <w:r w:rsidR="00817A7D">
        <w:t>将招聘信息反馈给未就业学生。</w:t>
      </w:r>
    </w:p>
    <w:p w:rsidR="00817A7D" w:rsidRPr="00CD7556" w:rsidRDefault="00817A7D" w:rsidP="00A30183">
      <w:pPr>
        <w:ind w:firstLineChars="150" w:firstLine="420"/>
      </w:pPr>
      <w:r>
        <w:rPr>
          <w:rFonts w:hint="eastAsia"/>
        </w:rPr>
        <w:t>我院471名</w:t>
      </w:r>
      <w:r>
        <w:t>本科生的就业工作以分管学生工作的副书记为领导、以毕业生辅导员为主体</w:t>
      </w:r>
      <w:r>
        <w:rPr>
          <w:rFonts w:hint="eastAsia"/>
        </w:rPr>
        <w:t>、</w:t>
      </w:r>
      <w:r w:rsidR="002218A8">
        <w:rPr>
          <w:rFonts w:hint="eastAsia"/>
        </w:rPr>
        <w:t>以</w:t>
      </w:r>
      <w:r w:rsidR="002218A8">
        <w:t>毕业班班主任和主要学生干部为抓手来进行开展</w:t>
      </w:r>
      <w:r w:rsidR="002218A8">
        <w:rPr>
          <w:rFonts w:hint="eastAsia"/>
        </w:rPr>
        <w:t>。</w:t>
      </w:r>
      <w:r w:rsidR="00E93B89">
        <w:rPr>
          <w:rFonts w:hint="eastAsia"/>
        </w:rPr>
        <w:t>学院在学期</w:t>
      </w:r>
      <w:r w:rsidR="00E93B89">
        <w:t>初召开</w:t>
      </w:r>
      <w:r w:rsidR="00E93B89">
        <w:rPr>
          <w:rFonts w:hint="eastAsia"/>
        </w:rPr>
        <w:t>了</w:t>
      </w:r>
      <w:r w:rsidR="00E93B89">
        <w:t>未就业</w:t>
      </w:r>
      <w:r w:rsidR="00E93B89">
        <w:rPr>
          <w:rFonts w:hint="eastAsia"/>
        </w:rPr>
        <w:t>学生</w:t>
      </w:r>
      <w:r w:rsidR="00E93B89">
        <w:t>促进会，</w:t>
      </w:r>
      <w:r w:rsidR="00E93B89">
        <w:rPr>
          <w:rFonts w:hint="eastAsia"/>
        </w:rPr>
        <w:t>帮助</w:t>
      </w:r>
      <w:r w:rsidR="00E93B89">
        <w:t>未</w:t>
      </w:r>
      <w:r w:rsidR="008E2F07">
        <w:t>就业学生树立正确的择业观，动员同学们积极签约，先就业，后择业，</w:t>
      </w:r>
      <w:r w:rsidR="008E2F07">
        <w:rPr>
          <w:rFonts w:hint="eastAsia"/>
        </w:rPr>
        <w:t>再</w:t>
      </w:r>
      <w:r w:rsidR="00E93B89">
        <w:t>创业。</w:t>
      </w:r>
      <w:r w:rsidR="008E2F07" w:rsidRPr="008E2F07">
        <w:rPr>
          <w:rFonts w:hint="eastAsia"/>
        </w:rPr>
        <w:t>毕业</w:t>
      </w:r>
      <w:r w:rsidR="008E2F07" w:rsidRPr="008E2F07">
        <w:t>班辅导员充分发挥主人</w:t>
      </w:r>
      <w:r w:rsidR="008E2F07" w:rsidRPr="008E2F07">
        <w:rPr>
          <w:rFonts w:hint="eastAsia"/>
        </w:rPr>
        <w:t>翁作用</w:t>
      </w:r>
      <w:r w:rsidR="008E2F07" w:rsidRPr="008E2F07">
        <w:t>，</w:t>
      </w:r>
      <w:r w:rsidR="008E2F07" w:rsidRPr="008E2F07">
        <w:rPr>
          <w:rFonts w:hint="eastAsia"/>
        </w:rPr>
        <w:t>深入</w:t>
      </w:r>
      <w:r w:rsidR="008E2F07" w:rsidRPr="008E2F07">
        <w:t>学生宿舍对尚未就业学生进行精准摸排，详细了解学生未就业原因</w:t>
      </w:r>
      <w:r w:rsidR="008E2F07">
        <w:rPr>
          <w:rFonts w:hint="eastAsia"/>
        </w:rPr>
        <w:t>，以</w:t>
      </w:r>
      <w:r w:rsidR="0012717F">
        <w:t>学校多次举办大型双选会的契机，</w:t>
      </w:r>
      <w:r w:rsidR="00CD7556" w:rsidRPr="00CD7556">
        <w:t>主动</w:t>
      </w:r>
      <w:r w:rsidR="00CD7556">
        <w:rPr>
          <w:rFonts w:hint="eastAsia"/>
        </w:rPr>
        <w:t>到</w:t>
      </w:r>
      <w:r w:rsidR="00CD7556" w:rsidRPr="00CD7556">
        <w:t>双选会现场与专业相关的企业进行面对面交流</w:t>
      </w:r>
      <w:r w:rsidR="00CD7556">
        <w:rPr>
          <w:rFonts w:hint="eastAsia"/>
        </w:rPr>
        <w:t>，并</w:t>
      </w:r>
      <w:r w:rsidR="00CD7556" w:rsidRPr="00CD7556">
        <w:rPr>
          <w:rFonts w:hint="eastAsia"/>
        </w:rPr>
        <w:t>建立</w:t>
      </w:r>
      <w:r w:rsidR="00CD7556">
        <w:rPr>
          <w:rFonts w:hint="eastAsia"/>
        </w:rPr>
        <w:t>了</w:t>
      </w:r>
      <w:r w:rsidR="008E2F07">
        <w:t>材料学院用人单位微信群，</w:t>
      </w:r>
      <w:r w:rsidR="00CD7556" w:rsidRPr="00CD7556">
        <w:t>邀请与专业对口的用人单位到学院进行专场招聘，为用人单位提供宣讲教室、接待室、面试室</w:t>
      </w:r>
      <w:r w:rsidR="00CD7556" w:rsidRPr="00CD7556">
        <w:rPr>
          <w:rFonts w:hint="eastAsia"/>
        </w:rPr>
        <w:t>等</w:t>
      </w:r>
      <w:r w:rsidR="00CD7556" w:rsidRPr="00CD7556">
        <w:t>便利，实现招聘宣讲——现场面试——网上签约一站式服务</w:t>
      </w:r>
      <w:r w:rsidR="00A30183" w:rsidRPr="00A30183">
        <w:t>，</w:t>
      </w:r>
      <w:r w:rsidR="00A30183" w:rsidRPr="00A30183">
        <w:rPr>
          <w:rFonts w:hint="eastAsia"/>
        </w:rPr>
        <w:t>为</w:t>
      </w:r>
      <w:r w:rsidR="00A30183" w:rsidRPr="00A30183">
        <w:t>用人单位和毕业生牵线搭桥。</w:t>
      </w:r>
      <w:r w:rsidR="00CD7556">
        <w:rPr>
          <w:rFonts w:hint="eastAsia"/>
        </w:rPr>
        <w:t>此外</w:t>
      </w:r>
      <w:r w:rsidR="00CD7556">
        <w:t>，学工办带领</w:t>
      </w:r>
      <w:r w:rsidR="00CD7556">
        <w:rPr>
          <w:rFonts w:hint="eastAsia"/>
        </w:rPr>
        <w:t>毕业班</w:t>
      </w:r>
      <w:r w:rsidR="00CD7556">
        <w:t>辅导员</w:t>
      </w:r>
      <w:r w:rsidR="00CD7556">
        <w:rPr>
          <w:rFonts w:hint="eastAsia"/>
        </w:rPr>
        <w:t>、</w:t>
      </w:r>
      <w:r w:rsidR="00CD7556">
        <w:t>班主任</w:t>
      </w:r>
      <w:r w:rsidR="00CD7556" w:rsidRPr="00CD7556">
        <w:rPr>
          <w:rFonts w:hint="eastAsia"/>
        </w:rPr>
        <w:t>召开</w:t>
      </w:r>
      <w:r w:rsidR="00CD7556" w:rsidRPr="00CD7556">
        <w:t>以专业长、班长、团支书为骨干的学生干部会议，动员学生干部作为未就业学生</w:t>
      </w:r>
      <w:r w:rsidR="00CD7556" w:rsidRPr="00CD7556">
        <w:rPr>
          <w:rFonts w:hint="eastAsia"/>
        </w:rPr>
        <w:t>的</w:t>
      </w:r>
      <w:r w:rsidR="00CD7556" w:rsidRPr="00CD7556">
        <w:t>第二就业帮扶人（</w:t>
      </w:r>
      <w:r w:rsidR="00CD7556" w:rsidRPr="00CD7556">
        <w:rPr>
          <w:rFonts w:hint="eastAsia"/>
        </w:rPr>
        <w:t>第一</w:t>
      </w:r>
      <w:r w:rsidR="00CD7556" w:rsidRPr="00CD7556">
        <w:t>帮扶人为毕业</w:t>
      </w:r>
      <w:r w:rsidR="00CD7556" w:rsidRPr="00CD7556">
        <w:rPr>
          <w:rFonts w:hint="eastAsia"/>
        </w:rPr>
        <w:t>设计</w:t>
      </w:r>
      <w:r w:rsidR="00CD7556" w:rsidRPr="00CD7556">
        <w:t>指导老师）</w:t>
      </w:r>
      <w:r w:rsidR="00CD7556" w:rsidRPr="00CD7556">
        <w:rPr>
          <w:rFonts w:hint="eastAsia"/>
        </w:rPr>
        <w:t>，</w:t>
      </w:r>
      <w:r w:rsidR="00CD7556" w:rsidRPr="00CD7556">
        <w:t>进行同辈帮扶提高就业帮扶实效。</w:t>
      </w:r>
    </w:p>
    <w:p w:rsidR="00715A4D" w:rsidRPr="002248CD" w:rsidRDefault="00E626D4" w:rsidP="002248CD">
      <w:pPr>
        <w:pStyle w:val="ab"/>
        <w:numPr>
          <w:ilvl w:val="0"/>
          <w:numId w:val="2"/>
        </w:numPr>
        <w:ind w:firstLineChars="0"/>
        <w:rPr>
          <w:b/>
        </w:rPr>
      </w:pPr>
      <w:r w:rsidRPr="00E626D4">
        <w:rPr>
          <w:rFonts w:hint="eastAsia"/>
          <w:b/>
        </w:rPr>
        <w:t>抓住</w:t>
      </w:r>
      <w:r w:rsidRPr="00E626D4">
        <w:rPr>
          <w:b/>
        </w:rPr>
        <w:t>学生</w:t>
      </w:r>
      <w:r>
        <w:rPr>
          <w:rFonts w:hint="eastAsia"/>
          <w:b/>
        </w:rPr>
        <w:t>考研</w:t>
      </w:r>
      <w:r w:rsidRPr="00E626D4">
        <w:rPr>
          <w:b/>
        </w:rPr>
        <w:t>心理，</w:t>
      </w:r>
      <w:r w:rsidRPr="00E626D4">
        <w:rPr>
          <w:rFonts w:hint="eastAsia"/>
          <w:b/>
        </w:rPr>
        <w:t>遵循</w:t>
      </w:r>
      <w:r w:rsidRPr="00E626D4">
        <w:rPr>
          <w:b/>
        </w:rPr>
        <w:t>学生成长规律</w:t>
      </w:r>
      <w:r>
        <w:rPr>
          <w:rFonts w:hint="eastAsia"/>
          <w:b/>
        </w:rPr>
        <w:t>，</w:t>
      </w:r>
      <w:r>
        <w:rPr>
          <w:b/>
        </w:rPr>
        <w:t>有条不紊地</w:t>
      </w:r>
      <w:r>
        <w:rPr>
          <w:rFonts w:hint="eastAsia"/>
          <w:b/>
        </w:rPr>
        <w:t>做好毕业</w:t>
      </w:r>
      <w:r w:rsidR="00A665E1">
        <w:rPr>
          <w:rFonts w:hint="eastAsia"/>
          <w:b/>
        </w:rPr>
        <w:t>生考研</w:t>
      </w:r>
      <w:r w:rsidR="00A665E1">
        <w:rPr>
          <w:b/>
        </w:rPr>
        <w:t>工作</w:t>
      </w:r>
      <w:r w:rsidR="00C3730D">
        <w:rPr>
          <w:rFonts w:hint="eastAsia"/>
          <w:b/>
        </w:rPr>
        <w:t>。</w:t>
      </w:r>
    </w:p>
    <w:p w:rsidR="002248CD" w:rsidRDefault="002248CD" w:rsidP="002248CD">
      <w:pPr>
        <w:ind w:firstLineChars="200" w:firstLine="560"/>
      </w:pPr>
      <w:r w:rsidRPr="002248CD">
        <w:rPr>
          <w:rFonts w:hint="eastAsia"/>
        </w:rPr>
        <w:t>材料</w:t>
      </w:r>
      <w:r w:rsidRPr="002248CD">
        <w:t>学院</w:t>
      </w:r>
      <w:r w:rsidRPr="002248CD">
        <w:rPr>
          <w:rFonts w:hint="eastAsia"/>
        </w:rPr>
        <w:t>2021届本科</w:t>
      </w:r>
      <w:r w:rsidRPr="002248CD">
        <w:t>毕业生共</w:t>
      </w:r>
      <w:r w:rsidRPr="002248CD">
        <w:rPr>
          <w:rFonts w:hint="eastAsia"/>
        </w:rPr>
        <w:t>471人</w:t>
      </w:r>
      <w:r w:rsidRPr="002248CD">
        <w:t>，其中</w:t>
      </w:r>
      <w:r w:rsidRPr="002248CD">
        <w:rPr>
          <w:rFonts w:hint="eastAsia"/>
        </w:rPr>
        <w:t>实际参加</w:t>
      </w:r>
      <w:r w:rsidRPr="002248CD">
        <w:t>考研人数为</w:t>
      </w:r>
      <w:r w:rsidRPr="002248CD">
        <w:rPr>
          <w:rFonts w:hint="eastAsia"/>
        </w:rPr>
        <w:t>319人</w:t>
      </w:r>
      <w:r w:rsidRPr="002248CD">
        <w:t>，考研过线人数为</w:t>
      </w:r>
      <w:r w:rsidRPr="002248CD">
        <w:rPr>
          <w:rFonts w:hint="eastAsia"/>
        </w:rPr>
        <w:t>196人，被录取人数为17</w:t>
      </w:r>
      <w:r>
        <w:t>8</w:t>
      </w:r>
      <w:r w:rsidRPr="002248CD">
        <w:rPr>
          <w:rFonts w:hint="eastAsia"/>
        </w:rPr>
        <w:t>人，</w:t>
      </w:r>
      <w:r w:rsidRPr="002248CD">
        <w:t>考研率</w:t>
      </w:r>
      <w:r w:rsidRPr="002248CD">
        <w:lastRenderedPageBreak/>
        <w:t>为</w:t>
      </w:r>
      <w:r>
        <w:rPr>
          <w:rFonts w:hint="eastAsia"/>
        </w:rPr>
        <w:t>37.5</w:t>
      </w:r>
      <w:r w:rsidRPr="002248CD">
        <w:t>%</w:t>
      </w:r>
      <w:r w:rsidRPr="002248CD">
        <w:rPr>
          <w:rFonts w:hint="eastAsia"/>
        </w:rPr>
        <w:t>。</w:t>
      </w:r>
      <w:r>
        <w:rPr>
          <w:rFonts w:hint="eastAsia"/>
        </w:rPr>
        <w:t>，学院连续多年考研录取率位居全校前列，主要得益于以下几方面的措施：</w:t>
      </w:r>
    </w:p>
    <w:p w:rsidR="002248CD" w:rsidRDefault="002248CD" w:rsidP="002248CD">
      <w:pPr>
        <w:ind w:firstLineChars="200" w:firstLine="560"/>
      </w:pPr>
      <w:r>
        <w:rPr>
          <w:rFonts w:hint="eastAsia"/>
        </w:rPr>
        <w:t>一是强化“全员育人”意识。学院以专业首席指导教师、任课教师、辅导员、班主任为主要力量，以第一课堂、第二课堂为主要阵地，坚决贯彻实施“全员育人”理念和措施，坚持思想教育与学业指导相结合，不断教育引导学生端正学习态度、明确专业目标，鼓励学生积极深造，成就精彩人生。</w:t>
      </w:r>
    </w:p>
    <w:p w:rsidR="002248CD" w:rsidRDefault="002248CD" w:rsidP="002248CD">
      <w:pPr>
        <w:ind w:firstLineChars="200" w:firstLine="560"/>
      </w:pPr>
      <w:r>
        <w:rPr>
          <w:rFonts w:hint="eastAsia"/>
        </w:rPr>
        <w:t>二是抓重点时段关键环节。学院从大一入学的专业介绍，到大二的专业分流再认识，到大三的考研动员和专业方向选择，再到大四的考试备考及研究生复试录取，在学生认知、选择的每个重点时段、关键节点，通过对学生进行指导、提醒和督促，使学生进一步明确目标、坚定信念，提升考研质量。</w:t>
      </w:r>
    </w:p>
    <w:p w:rsidR="002248CD" w:rsidRDefault="002248CD" w:rsidP="002248CD">
      <w:pPr>
        <w:ind w:firstLineChars="200" w:firstLine="560"/>
      </w:pPr>
      <w:r>
        <w:rPr>
          <w:rFonts w:hint="eastAsia"/>
        </w:rPr>
        <w:t>三是选树典型引领示范。以“树人讲堂”为平台，邀请知名校友返校作报告，以校友的亲身经历和体会，引导学生树立远大理想，立大志、做大事。每年举办考研经验交流会，宣传考研先进典型，对涌现的考研明星班级、明星宿舍及个人进行宣传，利用身边的榜样教育学生、引导学生，形成良好的示范带动作用。通过朋辈引导、教师辅导等形式帮助考研学生解决心理困惑和报考、备考、复试等主要环节的实际问题，此外，在每年的暑假期间，将学院的会议室开设为考研自习室，为考研学子解决没有固定位置、天气炎热等实际问题。</w:t>
      </w:r>
    </w:p>
    <w:p w:rsidR="002248CD" w:rsidRDefault="002248CD" w:rsidP="002248CD">
      <w:pPr>
        <w:ind w:firstLineChars="200" w:firstLine="560"/>
      </w:pPr>
      <w:r>
        <w:rPr>
          <w:rFonts w:hint="eastAsia"/>
        </w:rPr>
        <w:t>四是落实奖励激励制度。大力宣传学校考研奖励政策，通过考研动员会、考研交流会、光荣榜等形式，对考取国外著名院校，</w:t>
      </w:r>
      <w:r>
        <w:t>985、</w:t>
      </w:r>
      <w:r>
        <w:lastRenderedPageBreak/>
        <w:t>211、</w:t>
      </w:r>
      <w:r w:rsidR="00460E9E">
        <w:rPr>
          <w:rFonts w:hint="eastAsia"/>
        </w:rPr>
        <w:t>双一流</w:t>
      </w:r>
      <w:r>
        <w:t>等国内知名高校研究生的学生进行表彰、奖励，每年通过毕业生德育答辩让考研方面表现优秀的学生在全院范围内为低年级学生进行宣讲，提高广大同学的考研积极性。</w:t>
      </w:r>
    </w:p>
    <w:p w:rsidR="002248CD" w:rsidRDefault="002248CD" w:rsidP="002248CD">
      <w:pPr>
        <w:ind w:firstLineChars="200" w:firstLine="560"/>
      </w:pPr>
      <w:r>
        <w:rPr>
          <w:rFonts w:hint="eastAsia"/>
        </w:rPr>
        <w:t>通过以上举措，材料学院形成了院风优、学风好、班风正的良好氛围，学院考研率连续多年位居全校前列，人才培养质量得到了新提升。</w:t>
      </w:r>
    </w:p>
    <w:p w:rsidR="001C29C2" w:rsidRPr="00DD4621" w:rsidRDefault="000C6AAB" w:rsidP="00F66FEC">
      <w:pPr>
        <w:rPr>
          <w:b/>
        </w:rPr>
      </w:pPr>
      <w:r w:rsidRPr="00DD4621">
        <w:rPr>
          <w:rFonts w:hint="eastAsia"/>
          <w:b/>
        </w:rPr>
        <w:t>三</w:t>
      </w:r>
      <w:r w:rsidRPr="00DD4621">
        <w:rPr>
          <w:b/>
        </w:rPr>
        <w:t>、</w:t>
      </w:r>
      <w:r w:rsidR="00DD4621" w:rsidRPr="00DD4621">
        <w:rPr>
          <w:rFonts w:hint="eastAsia"/>
          <w:b/>
        </w:rPr>
        <w:t>真正以</w:t>
      </w:r>
      <w:r w:rsidR="00DD4621" w:rsidRPr="00DD4621">
        <w:rPr>
          <w:b/>
        </w:rPr>
        <w:t>学生为中心，学会换位思考，</w:t>
      </w:r>
      <w:r w:rsidR="00DD4621" w:rsidRPr="00DD4621">
        <w:rPr>
          <w:rFonts w:hint="eastAsia"/>
          <w:b/>
        </w:rPr>
        <w:t>坚持不懈</w:t>
      </w:r>
      <w:r w:rsidR="00DD4621" w:rsidRPr="00DD4621">
        <w:rPr>
          <w:b/>
        </w:rPr>
        <w:t>地做好未就业学生的帮扶工作。</w:t>
      </w:r>
    </w:p>
    <w:p w:rsidR="00F66FEC" w:rsidRPr="00715A4D" w:rsidRDefault="00DD4621" w:rsidP="00DD4621">
      <w:pPr>
        <w:ind w:firstLineChars="200" w:firstLine="560"/>
      </w:pPr>
      <w:r>
        <w:rPr>
          <w:rFonts w:hint="eastAsia"/>
        </w:rPr>
        <w:t>随着</w:t>
      </w:r>
      <w:r>
        <w:t>有就业意愿的学生纷纷签约，考研学生复试录取工作</w:t>
      </w:r>
      <w:r>
        <w:rPr>
          <w:rFonts w:hint="eastAsia"/>
        </w:rPr>
        <w:t>接近</w:t>
      </w:r>
      <w:r>
        <w:t>尾声，</w:t>
      </w:r>
      <w:r>
        <w:rPr>
          <w:rFonts w:hint="eastAsia"/>
        </w:rPr>
        <w:t>每年</w:t>
      </w:r>
      <w:r>
        <w:t>毕业生的就业工作越往后开展剩下的都是难看的硬骨头。</w:t>
      </w:r>
      <w:r w:rsidR="00670705">
        <w:rPr>
          <w:rFonts w:hint="eastAsia"/>
        </w:rPr>
        <w:t>学院</w:t>
      </w:r>
      <w:r w:rsidR="00670705">
        <w:t>通过深入细致的摸排，发现剩下的未就业学生主要分为考研二战、考公务员、参加</w:t>
      </w:r>
      <w:r w:rsidR="00686CFC">
        <w:rPr>
          <w:rFonts w:hint="eastAsia"/>
        </w:rPr>
        <w:t>教师招聘</w:t>
      </w:r>
      <w:r w:rsidR="00686CFC">
        <w:t>等事业单位</w:t>
      </w:r>
      <w:r w:rsidR="00670705">
        <w:t>考试、</w:t>
      </w:r>
      <w:r w:rsidR="00670705">
        <w:rPr>
          <w:rFonts w:hint="eastAsia"/>
        </w:rPr>
        <w:t>毕业</w:t>
      </w:r>
      <w:r w:rsidR="00670705">
        <w:t>后回家自主择业、</w:t>
      </w:r>
      <w:r w:rsidR="00670705">
        <w:rPr>
          <w:rFonts w:hint="eastAsia"/>
        </w:rPr>
        <w:t>暂无</w:t>
      </w:r>
      <w:r w:rsidR="00670705">
        <w:t>就业意向</w:t>
      </w:r>
      <w:r w:rsidR="00670705">
        <w:rPr>
          <w:rFonts w:hint="eastAsia"/>
        </w:rPr>
        <w:t>等</w:t>
      </w:r>
      <w:r w:rsidR="00670705">
        <w:t>几种类型。</w:t>
      </w:r>
      <w:r w:rsidR="00021A71" w:rsidRPr="00021A71">
        <w:t>鉴于此，对于不同原因造成的“慢就业”结果，</w:t>
      </w:r>
      <w:r w:rsidR="00021A71">
        <w:rPr>
          <w:rFonts w:hint="eastAsia"/>
        </w:rPr>
        <w:t>学院</w:t>
      </w:r>
      <w:r w:rsidR="00021A71" w:rsidRPr="00021A71">
        <w:t>在管理上进行分类指导。对于积极因素导致的“主动慢就业”，需要在管理上留有一定余地，既要保护学生“审慎”选择的积极性，又要做到及时掌握情况、跟踪进度，在必要时进行帮扶。对于消极因素导致的“被动慢就业”，则需要从职业价值引导、提升就业能力入手，找到提升就业质量的因应策略。</w:t>
      </w:r>
      <w:bookmarkStart w:id="0" w:name="_GoBack"/>
      <w:bookmarkEnd w:id="0"/>
    </w:p>
    <w:p w:rsidR="002076F9" w:rsidRDefault="00670705" w:rsidP="00230AF9">
      <w:pPr>
        <w:ind w:firstLineChars="200" w:firstLine="560"/>
      </w:pPr>
      <w:r>
        <w:rPr>
          <w:rFonts w:hint="eastAsia"/>
        </w:rPr>
        <w:t>对于</w:t>
      </w:r>
      <w:r w:rsidR="00021A71">
        <w:rPr>
          <w:rFonts w:hint="eastAsia"/>
        </w:rPr>
        <w:t>以上</w:t>
      </w:r>
      <w:r>
        <w:t>这些未就业的学生，学院</w:t>
      </w:r>
      <w:r>
        <w:rPr>
          <w:rFonts w:hint="eastAsia"/>
        </w:rPr>
        <w:t>往往</w:t>
      </w:r>
      <w:r>
        <w:t>采取</w:t>
      </w:r>
      <w:r>
        <w:rPr>
          <w:rFonts w:hint="eastAsia"/>
        </w:rPr>
        <w:t>集体谈话</w:t>
      </w:r>
      <w:r>
        <w:t>和个别谈话相结合的形式，急学生之所急，想学生之所想，</w:t>
      </w:r>
      <w:r>
        <w:rPr>
          <w:rFonts w:hint="eastAsia"/>
        </w:rPr>
        <w:t>分门别类地对</w:t>
      </w:r>
      <w:r>
        <w:t>未就业学生</w:t>
      </w:r>
      <w:r>
        <w:rPr>
          <w:rFonts w:hint="eastAsia"/>
        </w:rPr>
        <w:t>进行</w:t>
      </w:r>
      <w:r>
        <w:t>帮扶。对于</w:t>
      </w:r>
      <w:r>
        <w:rPr>
          <w:rFonts w:hint="eastAsia"/>
        </w:rPr>
        <w:t>考研</w:t>
      </w:r>
      <w:r>
        <w:t>二战的学生，</w:t>
      </w:r>
      <w:r>
        <w:rPr>
          <w:rFonts w:hint="eastAsia"/>
        </w:rPr>
        <w:t>从</w:t>
      </w:r>
      <w:r>
        <w:t>学院层面多次召开了考研二战学生交流会，帮助考研二战学生分析考研失败的原因，</w:t>
      </w:r>
      <w:r>
        <w:rPr>
          <w:rFonts w:hint="eastAsia"/>
        </w:rPr>
        <w:t>激励</w:t>
      </w:r>
      <w:r>
        <w:t>他们重</w:t>
      </w:r>
      <w:r>
        <w:lastRenderedPageBreak/>
        <w:t>新树立起自信心，</w:t>
      </w:r>
      <w:r>
        <w:rPr>
          <w:rFonts w:hint="eastAsia"/>
        </w:rPr>
        <w:t>制定</w:t>
      </w:r>
      <w:r>
        <w:t>合理的目标和复习计划</w:t>
      </w:r>
      <w:r>
        <w:rPr>
          <w:rFonts w:hint="eastAsia"/>
        </w:rPr>
        <w:t>，</w:t>
      </w:r>
      <w:r>
        <w:t>积极</w:t>
      </w:r>
      <w:r w:rsidR="00686CFC">
        <w:rPr>
          <w:rFonts w:hint="eastAsia"/>
        </w:rPr>
        <w:t>动员优秀</w:t>
      </w:r>
      <w:r w:rsidR="00686CFC">
        <w:t>考研学子对他们进行一对一帮扶</w:t>
      </w:r>
      <w:r w:rsidR="00686CFC">
        <w:rPr>
          <w:rFonts w:hint="eastAsia"/>
        </w:rPr>
        <w:t>，</w:t>
      </w:r>
      <w:r w:rsidR="00686CFC">
        <w:t>同时</w:t>
      </w:r>
      <w:r w:rsidR="00686CFC">
        <w:rPr>
          <w:rFonts w:hint="eastAsia"/>
        </w:rPr>
        <w:t>鼓励</w:t>
      </w:r>
      <w:r w:rsidR="00686CFC">
        <w:t>考研二战学生</w:t>
      </w:r>
      <w:r w:rsidR="00686CFC">
        <w:rPr>
          <w:rFonts w:hint="eastAsia"/>
        </w:rPr>
        <w:t>积极</w:t>
      </w:r>
      <w:r w:rsidR="00686CFC">
        <w:t>参加招聘会，做好两手准备，</w:t>
      </w:r>
      <w:r w:rsidR="00686CFC">
        <w:rPr>
          <w:rFonts w:hint="eastAsia"/>
        </w:rPr>
        <w:t>可以</w:t>
      </w:r>
      <w:r w:rsidR="00686CFC">
        <w:t>先签订短期的灵活就业合同进行半工半读，以减轻其</w:t>
      </w:r>
      <w:r w:rsidR="00686CFC">
        <w:rPr>
          <w:rFonts w:hint="eastAsia"/>
        </w:rPr>
        <w:t>升学</w:t>
      </w:r>
      <w:r w:rsidR="00686CFC">
        <w:t>压力和经济压力。</w:t>
      </w:r>
      <w:r w:rsidR="00686CFC">
        <w:rPr>
          <w:rFonts w:hint="eastAsia"/>
        </w:rPr>
        <w:t>对于</w:t>
      </w:r>
      <w:r w:rsidR="00686CFC">
        <w:t>考公务员和参加招教考试的学生，学院</w:t>
      </w:r>
      <w:r w:rsidR="00686CFC">
        <w:rPr>
          <w:rFonts w:hint="eastAsia"/>
        </w:rPr>
        <w:t>对</w:t>
      </w:r>
      <w:r w:rsidR="00686CFC">
        <w:t>其选择表示理解和支持，</w:t>
      </w:r>
      <w:r w:rsidR="002B156C">
        <w:rPr>
          <w:rFonts w:hint="eastAsia"/>
        </w:rPr>
        <w:t>因为</w:t>
      </w:r>
      <w:r w:rsidR="002B156C">
        <w:t>公务员考试和事业单位考试竞争较为激烈，而且持续时间较长，因此学院建议</w:t>
      </w:r>
      <w:r w:rsidR="002B156C">
        <w:rPr>
          <w:rFonts w:hint="eastAsia"/>
        </w:rPr>
        <w:t>此类</w:t>
      </w:r>
      <w:r w:rsidR="002B156C">
        <w:t>学生也能够积极参加招聘会，</w:t>
      </w:r>
      <w:r w:rsidR="002B156C">
        <w:rPr>
          <w:rFonts w:hint="eastAsia"/>
        </w:rPr>
        <w:t>先</w:t>
      </w:r>
      <w:r w:rsidR="002B156C">
        <w:t>签一个工作作为备选。</w:t>
      </w:r>
      <w:r w:rsidR="00686CFC">
        <w:t>同时也告知学生考公务员和参加事业单位考试并不影响其参加招聘会和签约企业，</w:t>
      </w:r>
      <w:r w:rsidR="00686CFC">
        <w:rPr>
          <w:rFonts w:hint="eastAsia"/>
        </w:rPr>
        <w:t>即便</w:t>
      </w:r>
      <w:r w:rsidR="00686CFC">
        <w:t>签约</w:t>
      </w:r>
      <w:r w:rsidR="002B156C">
        <w:rPr>
          <w:rFonts w:hint="eastAsia"/>
        </w:rPr>
        <w:t>也</w:t>
      </w:r>
      <w:r w:rsidR="002B156C">
        <w:t>不会影响其应届生身份</w:t>
      </w:r>
      <w:r w:rsidR="002B156C">
        <w:rPr>
          <w:rFonts w:hint="eastAsia"/>
        </w:rPr>
        <w:t>，</w:t>
      </w:r>
      <w:r w:rsidR="002B156C">
        <w:t>打消学生签约的</w:t>
      </w:r>
      <w:r w:rsidR="002B156C">
        <w:rPr>
          <w:rFonts w:hint="eastAsia"/>
        </w:rPr>
        <w:t>疑虑</w:t>
      </w:r>
      <w:r w:rsidR="002B156C">
        <w:t>。</w:t>
      </w:r>
      <w:r w:rsidR="00D3633B">
        <w:rPr>
          <w:rFonts w:hint="eastAsia"/>
        </w:rPr>
        <w:t>对于</w:t>
      </w:r>
      <w:r w:rsidR="00D3633B" w:rsidRPr="00D3633B">
        <w:rPr>
          <w:rFonts w:hint="eastAsia"/>
        </w:rPr>
        <w:t>毕业</w:t>
      </w:r>
      <w:r w:rsidR="00D3633B" w:rsidRPr="00D3633B">
        <w:t>后回家自主择业、</w:t>
      </w:r>
      <w:r w:rsidR="00D3633B" w:rsidRPr="00D3633B">
        <w:rPr>
          <w:rFonts w:hint="eastAsia"/>
        </w:rPr>
        <w:t>暂无</w:t>
      </w:r>
      <w:r w:rsidR="00D3633B" w:rsidRPr="00D3633B">
        <w:t>就业意向</w:t>
      </w:r>
      <w:r w:rsidR="00D3633B">
        <w:rPr>
          <w:rFonts w:hint="eastAsia"/>
        </w:rPr>
        <w:t>的</w:t>
      </w:r>
      <w:r w:rsidR="00D3633B">
        <w:t>学生学院也单独召开座谈会，</w:t>
      </w:r>
      <w:r w:rsidR="00D3633B">
        <w:rPr>
          <w:rFonts w:hint="eastAsia"/>
        </w:rPr>
        <w:t>教育</w:t>
      </w:r>
      <w:r w:rsidR="00D3633B">
        <w:t>学生要树立起先就业、后择业、再创业的意识，要积极做好个人的职业生涯规划，坚决杜绝等靠要的思想，同时学院积极联系校友企业</w:t>
      </w:r>
      <w:r w:rsidR="00315653">
        <w:rPr>
          <w:rFonts w:hint="eastAsia"/>
        </w:rPr>
        <w:t>对</w:t>
      </w:r>
      <w:r w:rsidR="00315653">
        <w:t>以上</w:t>
      </w:r>
      <w:r w:rsidR="00315653">
        <w:rPr>
          <w:rFonts w:hint="eastAsia"/>
        </w:rPr>
        <w:t>未就业</w:t>
      </w:r>
      <w:r w:rsidR="00315653">
        <w:t>学生</w:t>
      </w:r>
      <w:r w:rsidR="00315653">
        <w:rPr>
          <w:rFonts w:hint="eastAsia"/>
        </w:rPr>
        <w:t>开展</w:t>
      </w:r>
      <w:r w:rsidR="00315653">
        <w:t>专场招聘会，</w:t>
      </w:r>
      <w:r w:rsidR="00315653">
        <w:rPr>
          <w:rFonts w:hint="eastAsia"/>
        </w:rPr>
        <w:t>确保毕业生</w:t>
      </w:r>
      <w:r w:rsidR="00315653">
        <w:t>后期如果考</w:t>
      </w:r>
      <w:r w:rsidR="00315653">
        <w:rPr>
          <w:rFonts w:hint="eastAsia"/>
        </w:rPr>
        <w:t>上</w:t>
      </w:r>
      <w:r w:rsidR="00315653">
        <w:t>研究生、公务员、事业单位或者回家就业</w:t>
      </w:r>
      <w:r w:rsidR="00315653">
        <w:rPr>
          <w:rFonts w:hint="eastAsia"/>
        </w:rPr>
        <w:t>可以</w:t>
      </w:r>
      <w:r w:rsidR="00315653">
        <w:t>随时</w:t>
      </w:r>
      <w:r w:rsidR="00315653">
        <w:rPr>
          <w:rFonts w:hint="eastAsia"/>
        </w:rPr>
        <w:t>解约</w:t>
      </w:r>
      <w:r w:rsidR="00315653">
        <w:t>，不会产生</w:t>
      </w:r>
      <w:r w:rsidR="00315653">
        <w:rPr>
          <w:rFonts w:hint="eastAsia"/>
        </w:rPr>
        <w:t>任何</w:t>
      </w:r>
      <w:r w:rsidR="00315653">
        <w:t>违约金</w:t>
      </w:r>
      <w:r w:rsidR="00315653">
        <w:rPr>
          <w:rFonts w:hint="eastAsia"/>
        </w:rPr>
        <w:t>，真正</w:t>
      </w:r>
      <w:r w:rsidR="00315653">
        <w:t>解决</w:t>
      </w:r>
      <w:r w:rsidR="00315653">
        <w:rPr>
          <w:rFonts w:hint="eastAsia"/>
        </w:rPr>
        <w:t>未就业</w:t>
      </w:r>
      <w:r w:rsidR="00315653">
        <w:t>学生签约的后顾之忧。</w:t>
      </w:r>
    </w:p>
    <w:p w:rsidR="002C4D05" w:rsidRPr="001E64D8" w:rsidRDefault="002C4D05" w:rsidP="00230AF9">
      <w:pPr>
        <w:ind w:firstLineChars="200" w:firstLine="560"/>
      </w:pPr>
      <w:r>
        <w:rPr>
          <w:rFonts w:hint="eastAsia"/>
        </w:rPr>
        <w:t>学院</w:t>
      </w:r>
      <w:r>
        <w:t>通过以上三个方面的工作，</w:t>
      </w:r>
      <w:r>
        <w:rPr>
          <w:rFonts w:hint="eastAsia"/>
        </w:rPr>
        <w:t>帮助</w:t>
      </w:r>
      <w:r>
        <w:t>考研的学生考</w:t>
      </w:r>
      <w:r>
        <w:rPr>
          <w:rFonts w:hint="eastAsia"/>
        </w:rPr>
        <w:t>上</w:t>
      </w:r>
      <w:r>
        <w:t>了</w:t>
      </w:r>
      <w:r>
        <w:rPr>
          <w:rFonts w:hint="eastAsia"/>
        </w:rPr>
        <w:t>理想</w:t>
      </w:r>
      <w:r>
        <w:t>的院校，帮助有就业意愿的学生找到了满意的工作，同时也帮助暂</w:t>
      </w:r>
      <w:r>
        <w:rPr>
          <w:rFonts w:hint="eastAsia"/>
        </w:rPr>
        <w:t>时</w:t>
      </w:r>
      <w:r>
        <w:t>没有</w:t>
      </w:r>
      <w:r>
        <w:rPr>
          <w:rFonts w:hint="eastAsia"/>
        </w:rPr>
        <w:t>明确</w:t>
      </w:r>
      <w:r>
        <w:t>就业意向的同学</w:t>
      </w:r>
      <w:r>
        <w:rPr>
          <w:rFonts w:hint="eastAsia"/>
        </w:rPr>
        <w:t>多了</w:t>
      </w:r>
      <w:r>
        <w:t>一个</w:t>
      </w:r>
      <w:r>
        <w:rPr>
          <w:rFonts w:hint="eastAsia"/>
        </w:rPr>
        <w:t>就业</w:t>
      </w:r>
      <w:r>
        <w:t>选择，</w:t>
      </w:r>
      <w:r>
        <w:rPr>
          <w:rFonts w:hint="eastAsia"/>
        </w:rPr>
        <w:t>从而</w:t>
      </w:r>
      <w:r>
        <w:t>真正实现了高质量就业。</w:t>
      </w:r>
    </w:p>
    <w:sectPr w:rsidR="002C4D05" w:rsidRPr="001E64D8" w:rsidSect="003D4E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924" w:rsidRDefault="00A01924" w:rsidP="00C075DF">
      <w:r>
        <w:separator/>
      </w:r>
    </w:p>
  </w:endnote>
  <w:endnote w:type="continuationSeparator" w:id="0">
    <w:p w:rsidR="00A01924" w:rsidRDefault="00A01924" w:rsidP="00C0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924" w:rsidRDefault="00A01924" w:rsidP="00C075DF">
      <w:r>
        <w:separator/>
      </w:r>
    </w:p>
  </w:footnote>
  <w:footnote w:type="continuationSeparator" w:id="0">
    <w:p w:rsidR="00A01924" w:rsidRDefault="00A01924" w:rsidP="00C075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74603"/>
    <w:multiLevelType w:val="hybridMultilevel"/>
    <w:tmpl w:val="BBC40364"/>
    <w:lvl w:ilvl="0" w:tplc="C9FC6C7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F3B4777"/>
    <w:multiLevelType w:val="hybridMultilevel"/>
    <w:tmpl w:val="9B2EA3A2"/>
    <w:lvl w:ilvl="0" w:tplc="F1025E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47"/>
    <w:rsid w:val="00021A71"/>
    <w:rsid w:val="000C6AAB"/>
    <w:rsid w:val="000D0792"/>
    <w:rsid w:val="000D78A4"/>
    <w:rsid w:val="00100587"/>
    <w:rsid w:val="0012717F"/>
    <w:rsid w:val="001C29C2"/>
    <w:rsid w:val="001E64D8"/>
    <w:rsid w:val="002076F9"/>
    <w:rsid w:val="002218A8"/>
    <w:rsid w:val="002248CD"/>
    <w:rsid w:val="00230AF9"/>
    <w:rsid w:val="00283566"/>
    <w:rsid w:val="002B156C"/>
    <w:rsid w:val="002B3DFC"/>
    <w:rsid w:val="002C4D05"/>
    <w:rsid w:val="00315653"/>
    <w:rsid w:val="003D4E59"/>
    <w:rsid w:val="00456AD5"/>
    <w:rsid w:val="00460E9E"/>
    <w:rsid w:val="005C5A94"/>
    <w:rsid w:val="006331F0"/>
    <w:rsid w:val="00670705"/>
    <w:rsid w:val="00686CFC"/>
    <w:rsid w:val="00715A4D"/>
    <w:rsid w:val="00765864"/>
    <w:rsid w:val="00780310"/>
    <w:rsid w:val="007D1FD4"/>
    <w:rsid w:val="00817A7D"/>
    <w:rsid w:val="00825569"/>
    <w:rsid w:val="00834828"/>
    <w:rsid w:val="008E2F07"/>
    <w:rsid w:val="008F2D47"/>
    <w:rsid w:val="009332E4"/>
    <w:rsid w:val="00971F64"/>
    <w:rsid w:val="009F0846"/>
    <w:rsid w:val="00A01924"/>
    <w:rsid w:val="00A07CE9"/>
    <w:rsid w:val="00A30183"/>
    <w:rsid w:val="00A665E1"/>
    <w:rsid w:val="00AD69ED"/>
    <w:rsid w:val="00B92242"/>
    <w:rsid w:val="00BD45C1"/>
    <w:rsid w:val="00C075DF"/>
    <w:rsid w:val="00C3730D"/>
    <w:rsid w:val="00CD7556"/>
    <w:rsid w:val="00D20C06"/>
    <w:rsid w:val="00D3633B"/>
    <w:rsid w:val="00D45A79"/>
    <w:rsid w:val="00D547B6"/>
    <w:rsid w:val="00D73163"/>
    <w:rsid w:val="00D91C0B"/>
    <w:rsid w:val="00DD4621"/>
    <w:rsid w:val="00E335D9"/>
    <w:rsid w:val="00E539B0"/>
    <w:rsid w:val="00E626D4"/>
    <w:rsid w:val="00E90BD0"/>
    <w:rsid w:val="00E93B89"/>
    <w:rsid w:val="00EF0CE7"/>
    <w:rsid w:val="00F00D67"/>
    <w:rsid w:val="00F66FEC"/>
    <w:rsid w:val="00F81831"/>
    <w:rsid w:val="00F95E8A"/>
    <w:rsid w:val="00FE04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F85ED"/>
  <w15:docId w15:val="{BA3456C1-782D-4149-8FFC-DAA03932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DFC"/>
    <w:pPr>
      <w:widowControl w:val="0"/>
      <w:jc w:val="both"/>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E64D8"/>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1E64D8"/>
    <w:rPr>
      <w:rFonts w:asciiTheme="majorHAnsi" w:eastAsiaTheme="majorEastAsia" w:hAnsiTheme="majorHAnsi" w:cstheme="majorBidi"/>
      <w:b/>
      <w:bCs/>
      <w:sz w:val="32"/>
      <w:szCs w:val="32"/>
    </w:rPr>
  </w:style>
  <w:style w:type="paragraph" w:styleId="a5">
    <w:name w:val="Balloon Text"/>
    <w:basedOn w:val="a"/>
    <w:link w:val="a6"/>
    <w:uiPriority w:val="99"/>
    <w:semiHidden/>
    <w:unhideWhenUsed/>
    <w:rsid w:val="00F00D67"/>
    <w:rPr>
      <w:sz w:val="18"/>
      <w:szCs w:val="18"/>
    </w:rPr>
  </w:style>
  <w:style w:type="character" w:customStyle="1" w:styleId="a6">
    <w:name w:val="批注框文本 字符"/>
    <w:basedOn w:val="a0"/>
    <w:link w:val="a5"/>
    <w:uiPriority w:val="99"/>
    <w:semiHidden/>
    <w:rsid w:val="00F00D67"/>
    <w:rPr>
      <w:sz w:val="18"/>
      <w:szCs w:val="18"/>
    </w:rPr>
  </w:style>
  <w:style w:type="paragraph" w:styleId="a7">
    <w:name w:val="header"/>
    <w:basedOn w:val="a"/>
    <w:link w:val="a8"/>
    <w:uiPriority w:val="99"/>
    <w:unhideWhenUsed/>
    <w:rsid w:val="00C075D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075DF"/>
    <w:rPr>
      <w:sz w:val="18"/>
      <w:szCs w:val="18"/>
    </w:rPr>
  </w:style>
  <w:style w:type="paragraph" w:styleId="a9">
    <w:name w:val="footer"/>
    <w:basedOn w:val="a"/>
    <w:link w:val="aa"/>
    <w:uiPriority w:val="99"/>
    <w:unhideWhenUsed/>
    <w:rsid w:val="00C075DF"/>
    <w:pPr>
      <w:tabs>
        <w:tab w:val="center" w:pos="4153"/>
        <w:tab w:val="right" w:pos="8306"/>
      </w:tabs>
      <w:snapToGrid w:val="0"/>
      <w:jc w:val="left"/>
    </w:pPr>
    <w:rPr>
      <w:sz w:val="18"/>
      <w:szCs w:val="18"/>
    </w:rPr>
  </w:style>
  <w:style w:type="character" w:customStyle="1" w:styleId="aa">
    <w:name w:val="页脚 字符"/>
    <w:basedOn w:val="a0"/>
    <w:link w:val="a9"/>
    <w:uiPriority w:val="99"/>
    <w:rsid w:val="00C075DF"/>
    <w:rPr>
      <w:sz w:val="18"/>
      <w:szCs w:val="18"/>
    </w:rPr>
  </w:style>
  <w:style w:type="paragraph" w:styleId="ab">
    <w:name w:val="List Paragraph"/>
    <w:basedOn w:val="a"/>
    <w:uiPriority w:val="34"/>
    <w:qFormat/>
    <w:rsid w:val="002076F9"/>
    <w:pPr>
      <w:ind w:firstLineChars="200" w:firstLine="420"/>
    </w:pPr>
  </w:style>
  <w:style w:type="table" w:styleId="ac">
    <w:name w:val="Table Grid"/>
    <w:basedOn w:val="a1"/>
    <w:qFormat/>
    <w:rsid w:val="00456AD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423</Words>
  <Characters>2413</Characters>
  <Application>Microsoft Office Word</Application>
  <DocSecurity>0</DocSecurity>
  <Lines>20</Lines>
  <Paragraphs>5</Paragraphs>
  <ScaleCrop>false</ScaleCrop>
  <Company>微软公司</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材料学院学工办</dc:creator>
  <cp:lastModifiedBy>材料学院学工办</cp:lastModifiedBy>
  <cp:revision>33</cp:revision>
  <cp:lastPrinted>2021-04-01T01:27:00Z</cp:lastPrinted>
  <dcterms:created xsi:type="dcterms:W3CDTF">2021-07-03T03:20:00Z</dcterms:created>
  <dcterms:modified xsi:type="dcterms:W3CDTF">2021-07-06T08:35:00Z</dcterms:modified>
</cp:coreProperties>
</file>